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1B04A469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7A3F36">
        <w:rPr>
          <w:b/>
        </w:rPr>
        <w:t>8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15E5893C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</w:t>
      </w:r>
      <w:r w:rsidR="007A3F36">
        <w:rPr>
          <w:color w:val="000000"/>
        </w:rPr>
        <w:t xml:space="preserve"> wraz z montażem</w:t>
      </w:r>
      <w:r w:rsidRPr="0081727F">
        <w:rPr>
          <w:color w:val="000000"/>
        </w:rPr>
        <w:t xml:space="preserve">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C55E3B" w:rsidRPr="006A002D" w14:paraId="16EA13DA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C27DD" w14:textId="366D5950" w:rsidR="0017529D" w:rsidRPr="0017529D" w:rsidRDefault="007A3F36" w:rsidP="0017529D">
            <w:pPr>
              <w:rPr>
                <w:rFonts w:eastAsia="Calibri"/>
                <w:bCs/>
              </w:rPr>
            </w:pPr>
            <w:r w:rsidRPr="007A3F36">
              <w:rPr>
                <w:rFonts w:eastAsia="Calibri"/>
                <w:bCs/>
              </w:rPr>
              <w:t>Garaż blaszany 5x6</w:t>
            </w:r>
            <w:r w:rsidR="0017529D" w:rsidRPr="0017529D">
              <w:rPr>
                <w:rFonts w:eastAsia="Calibri"/>
                <w:bCs/>
              </w:rPr>
              <w:t>,</w:t>
            </w:r>
          </w:p>
          <w:p w14:paraId="3148EA73" w14:textId="3BFC5A54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39547CE8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282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26F01" w14:textId="091D8749" w:rsidR="0017529D" w:rsidRPr="0017529D" w:rsidRDefault="0017529D" w:rsidP="0017529D">
            <w:pPr>
              <w:rPr>
                <w:rFonts w:eastAsia="Calibri"/>
                <w:bCs/>
              </w:rPr>
            </w:pPr>
            <w:r w:rsidRPr="0017529D">
              <w:rPr>
                <w:rFonts w:eastAsia="Calibri"/>
                <w:bCs/>
              </w:rPr>
              <w:t xml:space="preserve"> </w:t>
            </w:r>
            <w:r w:rsidR="007A3F36">
              <w:rPr>
                <w:rFonts w:eastAsia="Calibri"/>
                <w:bCs/>
              </w:rPr>
              <w:t>H</w:t>
            </w:r>
            <w:r w:rsidR="007A3F36" w:rsidRPr="007A3F36">
              <w:rPr>
                <w:rFonts w:eastAsia="Calibri"/>
                <w:bCs/>
              </w:rPr>
              <w:t>ala magazynowa</w:t>
            </w:r>
            <w:r w:rsidRPr="0017529D">
              <w:rPr>
                <w:rFonts w:eastAsia="Calibri"/>
                <w:bCs/>
              </w:rPr>
              <w:t>,</w:t>
            </w:r>
          </w:p>
          <w:p w14:paraId="3DCA1480" w14:textId="6A1D130B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374A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B9E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62D8D0CA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</w:t>
      </w:r>
      <w:r w:rsidR="007A3F36">
        <w:rPr>
          <w:rFonts w:ascii="Times New Roman" w:hAnsi="Times New Roman" w:cs="Times New Roman"/>
          <w:sz w:val="24"/>
          <w:szCs w:val="24"/>
        </w:rPr>
        <w:t>ę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7A3F36">
        <w:rPr>
          <w:rFonts w:ascii="Times New Roman" w:hAnsi="Times New Roman" w:cs="Times New Roman"/>
          <w:sz w:val="24"/>
          <w:szCs w:val="24"/>
        </w:rPr>
        <w:t xml:space="preserve">wraz z dostawą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lastRenderedPageBreak/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7D16964A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7A3F36">
        <w:t>8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BF0A" w14:textId="77777777" w:rsidR="00D40C9E" w:rsidRDefault="00D40C9E" w:rsidP="006D624C">
      <w:r>
        <w:separator/>
      </w:r>
    </w:p>
  </w:endnote>
  <w:endnote w:type="continuationSeparator" w:id="0">
    <w:p w14:paraId="026980ED" w14:textId="77777777" w:rsidR="00D40C9E" w:rsidRDefault="00D40C9E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A9E7" w14:textId="77777777" w:rsidR="00D40C9E" w:rsidRDefault="00D40C9E" w:rsidP="006D624C">
      <w:r>
        <w:separator/>
      </w:r>
    </w:p>
  </w:footnote>
  <w:footnote w:type="continuationSeparator" w:id="0">
    <w:p w14:paraId="438B8DD2" w14:textId="77777777" w:rsidR="00D40C9E" w:rsidRDefault="00D40C9E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560AC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A3F36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B469B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40C9E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32</cp:revision>
  <cp:lastPrinted>2023-05-10T12:58:00Z</cp:lastPrinted>
  <dcterms:created xsi:type="dcterms:W3CDTF">2017-06-13T07:36:00Z</dcterms:created>
  <dcterms:modified xsi:type="dcterms:W3CDTF">2025-09-22T11:48:00Z</dcterms:modified>
</cp:coreProperties>
</file>