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34F7CA97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BB30DA">
        <w:rPr>
          <w:b/>
        </w:rPr>
        <w:t>14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858D4CA" w14:textId="77777777" w:rsidR="003C6F27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</w:t>
      </w:r>
    </w:p>
    <w:p w14:paraId="7C90D05C" w14:textId="75DB47A7" w:rsidR="006C2AD2" w:rsidRPr="00D91823" w:rsidRDefault="00C74EE2" w:rsidP="00553180">
      <w:pPr>
        <w:spacing w:line="276" w:lineRule="auto"/>
        <w:jc w:val="both"/>
      </w:pPr>
      <w:r>
        <w:t>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44B812F3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60532E81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BB30D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823"/>
        <w:gridCol w:w="1276"/>
        <w:gridCol w:w="1356"/>
      </w:tblGrid>
      <w:tr w:rsidR="00C55E3B" w:rsidRPr="006A002D" w14:paraId="16EA13DA" w14:textId="77777777" w:rsidTr="00BC5D0B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48EA73" w14:textId="4EADCBCB" w:rsidR="00C55E3B" w:rsidRPr="006A002D" w:rsidRDefault="00BC5D0B" w:rsidP="0017529D">
            <w:pPr>
              <w:rPr>
                <w:bCs/>
              </w:rPr>
            </w:pPr>
            <w:r w:rsidRPr="00BC5D0B">
              <w:rPr>
                <w:rFonts w:eastAsia="Calibri"/>
                <w:bCs/>
              </w:rPr>
              <w:t>Latarka</w:t>
            </w:r>
            <w:r>
              <w:rPr>
                <w:rFonts w:eastAsia="Calibri"/>
                <w:bCs/>
              </w:rPr>
              <w:t xml:space="preserve"> </w:t>
            </w:r>
            <w:r w:rsidR="003C6F27">
              <w:rPr>
                <w:rFonts w:eastAsia="Calibri"/>
                <w:bCs/>
              </w:rPr>
              <w:t xml:space="preserve">– </w:t>
            </w:r>
            <w:r w:rsidRPr="00BC5D0B">
              <w:rPr>
                <w:rFonts w:eastAsia="Calibri"/>
                <w:b/>
              </w:rPr>
              <w:t>10</w:t>
            </w:r>
            <w:r>
              <w:rPr>
                <w:rFonts w:eastAsia="Calibri"/>
                <w:bCs/>
              </w:rPr>
              <w:t xml:space="preserve"> </w:t>
            </w:r>
            <w:r w:rsidR="003C6F27" w:rsidRPr="003C6F27">
              <w:rPr>
                <w:rFonts w:eastAsia="Calibri"/>
                <w:b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39547CE8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282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26F01" w14:textId="2A783E9F" w:rsidR="0017529D" w:rsidRPr="00BC5D0B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 xml:space="preserve">Akumulatory zasilające do latarki </w:t>
            </w:r>
            <w:r w:rsidRPr="00BC5D0B">
              <w:rPr>
                <w:rFonts w:eastAsia="Calibri"/>
                <w:b/>
              </w:rPr>
              <w:t>20 szt</w:t>
            </w:r>
            <w:r>
              <w:rPr>
                <w:rFonts w:eastAsia="Calibri"/>
                <w:bCs/>
              </w:rPr>
              <w:t>.</w:t>
            </w:r>
            <w:r w:rsidRPr="00BC5D0B">
              <w:rPr>
                <w:rFonts w:eastAsia="Calibri"/>
                <w:bCs/>
              </w:rPr>
              <w:t>+ ładowarki</w:t>
            </w:r>
            <w:r>
              <w:rPr>
                <w:rFonts w:eastAsia="Calibri"/>
                <w:bCs/>
              </w:rPr>
              <w:t xml:space="preserve"> </w:t>
            </w:r>
            <w:r w:rsidRPr="00BC5D0B">
              <w:rPr>
                <w:rFonts w:eastAsia="Calibri"/>
                <w:b/>
              </w:rPr>
              <w:t>3 szt.</w:t>
            </w:r>
          </w:p>
          <w:p w14:paraId="3DCA1480" w14:textId="6A1D130B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374A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B9E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2A478532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4CB2C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31254" w14:textId="3C782D73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Przedłużacz 10 m 3x2,5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3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4F5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500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77371353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9541D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CA1B1" w14:textId="48F9206A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Powerbank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4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F63D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7494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4D767BE6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7FE8B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D0FE8" w14:textId="4B535333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Ups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2952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61A29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74FD1629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3BA87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79E0A" w14:textId="1A9B1699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Solarna stacja ładująca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CD08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9F3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0F867E80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82967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595E35" w14:textId="722BF868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Kamery do monitoringu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4 zestawy</w:t>
            </w:r>
            <w:r w:rsidR="007F09FA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18F4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32A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BC5D0B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073FDAE1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 xml:space="preserve">dostawy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="007F09FA">
        <w:rPr>
          <w:rFonts w:ascii="Times New Roman" w:hAnsi="Times New Roman" w:cs="Times New Roman"/>
          <w:sz w:val="24"/>
          <w:szCs w:val="24"/>
        </w:rPr>
        <w:t xml:space="preserve"> wraz z montażem 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14F943DA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 xml:space="preserve">Wynagrodzenie będzie płatne w ciągu </w:t>
      </w:r>
      <w:r w:rsidR="00BB30DA" w:rsidRPr="00BB30DA">
        <w:rPr>
          <w:rFonts w:ascii="Times New Roman" w:hAnsi="Times New Roman" w:cs="Times New Roman"/>
          <w:b/>
          <w:sz w:val="24"/>
          <w:szCs w:val="24"/>
        </w:rPr>
        <w:t>7</w:t>
      </w:r>
      <w:r w:rsidRPr="00BB30D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D91823">
        <w:rPr>
          <w:rFonts w:ascii="Times New Roman" w:hAnsi="Times New Roman" w:cs="Times New Roman"/>
          <w:bCs/>
          <w:sz w:val="24"/>
          <w:szCs w:val="24"/>
        </w:rPr>
        <w:t xml:space="preserve"> od daty otrzymania </w:t>
      </w:r>
      <w:r w:rsidR="00BB30DA" w:rsidRPr="00BB30DA">
        <w:rPr>
          <w:rFonts w:ascii="Times New Roman" w:hAnsi="Times New Roman" w:cs="Times New Roman"/>
          <w:bCs/>
          <w:sz w:val="24"/>
          <w:szCs w:val="24"/>
        </w:rPr>
        <w:t>prawidłowo wystawionej</w:t>
      </w:r>
      <w:r w:rsidR="00BB30DA" w:rsidRPr="00BB30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faktury</w:t>
      </w:r>
      <w:r w:rsidR="00BB30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lastRenderedPageBreak/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lastRenderedPageBreak/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1D0D33D7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BB30DA">
        <w:t>14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0294" w14:textId="77777777" w:rsidR="00280A48" w:rsidRDefault="00280A48" w:rsidP="006D624C">
      <w:r>
        <w:separator/>
      </w:r>
    </w:p>
  </w:endnote>
  <w:endnote w:type="continuationSeparator" w:id="0">
    <w:p w14:paraId="49CFB7DE" w14:textId="77777777" w:rsidR="00280A48" w:rsidRDefault="00280A48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5E2C" w14:textId="77777777" w:rsidR="00280A48" w:rsidRDefault="00280A48" w:rsidP="006D624C">
      <w:r>
        <w:separator/>
      </w:r>
    </w:p>
  </w:footnote>
  <w:footnote w:type="continuationSeparator" w:id="0">
    <w:p w14:paraId="30CA24EF" w14:textId="77777777" w:rsidR="00280A48" w:rsidRDefault="00280A48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09E8"/>
    <w:rsid w:val="000418E3"/>
    <w:rsid w:val="00043E52"/>
    <w:rsid w:val="00060E7F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13DD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560AC"/>
    <w:rsid w:val="00280A48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C6F27"/>
    <w:rsid w:val="003E2D6F"/>
    <w:rsid w:val="003F3338"/>
    <w:rsid w:val="00411718"/>
    <w:rsid w:val="0043205D"/>
    <w:rsid w:val="00446B24"/>
    <w:rsid w:val="00465F74"/>
    <w:rsid w:val="004D0133"/>
    <w:rsid w:val="004D773B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C13AA"/>
    <w:rsid w:val="007C72D4"/>
    <w:rsid w:val="007D01C1"/>
    <w:rsid w:val="007F09FA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0112"/>
    <w:rsid w:val="00BB2BE1"/>
    <w:rsid w:val="00BB30DA"/>
    <w:rsid w:val="00BC53BA"/>
    <w:rsid w:val="00BC5D0B"/>
    <w:rsid w:val="00BD0846"/>
    <w:rsid w:val="00BF68F5"/>
    <w:rsid w:val="00C55E3B"/>
    <w:rsid w:val="00C70A7B"/>
    <w:rsid w:val="00C74EE2"/>
    <w:rsid w:val="00C9032D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2023-05-10T12:58:00Z</cp:lastPrinted>
  <dcterms:created xsi:type="dcterms:W3CDTF">2017-06-13T07:36:00Z</dcterms:created>
  <dcterms:modified xsi:type="dcterms:W3CDTF">2025-12-02T10:05:00Z</dcterms:modified>
</cp:coreProperties>
</file>